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D" w:rsidRPr="002F78AD" w:rsidRDefault="00054871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85E">
        <w:rPr>
          <w:noProof/>
        </w:rPr>
        <w:drawing>
          <wp:inline distT="0" distB="0" distL="0" distR="0" wp14:anchorId="0FF715EA" wp14:editId="1510738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AD" w:rsidRPr="00054871" w:rsidRDefault="002F78AD" w:rsidP="002907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54871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054871" w:rsidRPr="002F78AD" w:rsidRDefault="00054871" w:rsidP="002907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F78AD" w:rsidRPr="002F78AD" w:rsidRDefault="002F78AD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8A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054871">
        <w:rPr>
          <w:rFonts w:ascii="Times New Roman" w:eastAsia="Times New Roman" w:hAnsi="Times New Roman" w:cs="Times New Roman"/>
          <w:b/>
          <w:sz w:val="28"/>
          <w:szCs w:val="28"/>
        </w:rPr>
        <w:t>РАССВЕТОВСКОГО</w:t>
      </w:r>
      <w:r w:rsidRPr="002F78A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:rsidR="002F78AD" w:rsidRDefault="002F78AD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8665E" w:rsidRPr="008C2B71" w:rsidRDefault="0078665E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F78AD" w:rsidRPr="008C2B71" w:rsidRDefault="00A23B27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24.12.2018        </w:t>
      </w:r>
      <w:r w:rsidR="002F78AD" w:rsidRPr="008C2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054871" w:rsidRPr="008C2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8C2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9E3B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054871" w:rsidRPr="008C2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144</w:t>
      </w:r>
    </w:p>
    <w:p w:rsidR="00CE0BB3" w:rsidRDefault="00CE0BB3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78AD" w:rsidRPr="0078665E" w:rsidRDefault="00054871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65E">
        <w:rPr>
          <w:rFonts w:ascii="Times New Roman" w:eastAsia="Times New Roman" w:hAnsi="Times New Roman" w:cs="Times New Roman"/>
          <w:bCs/>
          <w:sz w:val="28"/>
          <w:szCs w:val="28"/>
        </w:rPr>
        <w:t>п. Рассвет</w:t>
      </w:r>
    </w:p>
    <w:p w:rsidR="002F78AD" w:rsidRPr="007C1EFF" w:rsidRDefault="002F78AD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8AD" w:rsidRPr="007C1EFF" w:rsidRDefault="002F78AD" w:rsidP="002F78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требований к договорам о предоставлении бюджетных инвестиций</w:t>
      </w:r>
      <w:r w:rsidR="00AC6138" w:rsidRPr="007C1EFF">
        <w:rPr>
          <w:rFonts w:ascii="Times New Roman" w:eastAsia="Times New Roman" w:hAnsi="Times New Roman" w:cs="Times New Roman"/>
          <w:b/>
          <w:sz w:val="28"/>
          <w:szCs w:val="28"/>
        </w:rPr>
        <w:t xml:space="preserve"> юридическим лицам, не являющим</w:t>
      </w:r>
      <w:r w:rsidRPr="007C1EFF">
        <w:rPr>
          <w:rFonts w:ascii="Times New Roman" w:eastAsia="Times New Roman" w:hAnsi="Times New Roman" w:cs="Times New Roman"/>
          <w:b/>
          <w:sz w:val="28"/>
          <w:szCs w:val="28"/>
        </w:rPr>
        <w:t>ся муниципальными учреждениями и муниципальными унитарными предприятиями, за счет средств местного бюджета</w:t>
      </w:r>
    </w:p>
    <w:p w:rsidR="00CB2E4C" w:rsidRPr="007C1EFF" w:rsidRDefault="00CB2E4C" w:rsidP="00CB2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80 Бюджетного кодекса Российской Федерации, Уставом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 xml:space="preserve">Рассветовского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Староминского района администрация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7C1EF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1. Утвердить требования к договорам о предоставлении бюджетных инвестиций юридическим лицам, не являющимися муниципальными учреждениями и муниципальными унитарными предприятиями, за счет средств местного бюджета (Приложение № 1).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постановление и разместить его на официальном сайте органов местного самоуправления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 в сети Интернет.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871" w:rsidRDefault="00054871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871" w:rsidRPr="007C1EFF" w:rsidRDefault="00054871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</w:p>
    <w:p w:rsidR="00CB2E4C" w:rsidRPr="007C1EFF" w:rsidRDefault="00CB2E4C" w:rsidP="00CB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054871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BC02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BC02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CB2E4C" w:rsidRPr="007C1EFF" w:rsidRDefault="00CB2E4C" w:rsidP="00BC02D5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0767" w:rsidRPr="007C1E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B2E4C" w:rsidRPr="007C1EFF" w:rsidRDefault="00054871" w:rsidP="00BC02D5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CB2E4C" w:rsidRPr="007C1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B2E4C" w:rsidRPr="007C1EFF" w:rsidRDefault="00CB2E4C" w:rsidP="00BC02D5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Староминского района </w:t>
      </w:r>
    </w:p>
    <w:p w:rsidR="00CB2E4C" w:rsidRPr="007C1EFF" w:rsidRDefault="00CB2E4C" w:rsidP="00BC02D5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4D1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BC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3C4D1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B2E4C" w:rsidRPr="007C1EFF" w:rsidRDefault="00CB2E4C" w:rsidP="00290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CB2E4C" w:rsidRPr="007C1EFF" w:rsidRDefault="00CB2E4C" w:rsidP="00CB2E4C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b/>
          <w:sz w:val="28"/>
          <w:szCs w:val="28"/>
        </w:rPr>
        <w:t>к договорам о предоставлении бюджетных инвестиций</w:t>
      </w:r>
      <w:r w:rsidR="00AC6138" w:rsidRPr="007C1EFF">
        <w:rPr>
          <w:rFonts w:ascii="Times New Roman" w:eastAsia="Times New Roman" w:hAnsi="Times New Roman" w:cs="Times New Roman"/>
          <w:b/>
          <w:sz w:val="28"/>
          <w:szCs w:val="28"/>
        </w:rPr>
        <w:t xml:space="preserve"> юридическим лицам, не являющим</w:t>
      </w:r>
      <w:r w:rsidRPr="007C1EFF">
        <w:rPr>
          <w:rFonts w:ascii="Times New Roman" w:eastAsia="Times New Roman" w:hAnsi="Times New Roman" w:cs="Times New Roman"/>
          <w:b/>
          <w:sz w:val="28"/>
          <w:szCs w:val="28"/>
        </w:rPr>
        <w:t>ся муниципальными учреждениями и муниципальными унитарными предприятиями, за счет средств местного бюджета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1. Настоящий документ устанавливает требования к договору о предоставлении бюджетных инвестиций юридическому лицу, не являющемуся муниципальным учреждением и муниципальным унитарным предприятием (далее соответственно - юридическое лицо, получающее бюджетные инвестиции, бюджетные инвестиции), заключаемому между администрацией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бюджетные инвестиции, осуществляющ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полномочия собственника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Староминского района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в отношении акций (долей) в уставном (складочном) капитале юридического лица, получающ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2. Договор о предоставлении бюджетных инвестиций заключается в пределах бюджетных ассигнований, 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>утверждённых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о местном бюджете на соответствующий финансовый год, и лимитов бюджетных обязательств, доведенных в установленном порядке для предоставления бюджетных инвестиций соответствующему 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исполнительно-распорядительному органу </w:t>
      </w:r>
      <w:r w:rsidR="00930F5F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5F" w:rsidRPr="007C1E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Староминского района 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как получателю средств местного бюджета.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е)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и) положения о запрете: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местной администрации;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на осуществление операций, определенных нормативными правовыми актами местной администрации,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к) порядок и сроки представления юридическим лицом, получающим бюджетные инвестиции, установленной местной администрацией, предоставляющим бюджетные инвестиции, отчетности о расходах,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л) право 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>исполнительно-распорядительн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5F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5F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3 настоящего документа, также предусматриваются: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б) обязательство юридического лица, получающего бюджетные инвестиции,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местной администрацией порядке о предоставлении бюджетных инвестиций;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местной администрацией порядке проверки достоверности определения сметной стоимости объектов капитального строительства, а также проведение в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администрацией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администрацией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бюджетных инвестиций.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3 настоящего документа, также предусматриваются: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а) наименования дочерних обществ;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>ии, если решением 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44" w:rsidRPr="007C1E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Староминского района 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не определены иные сроки или порядок определения указанных сроков;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г) положение о представлении юридическим лицом, получающим бюджетные инвестиции, в составе отчетности, указанной в подпункте "к" пункта 3 настоящего документа, информации об использовании дочерними обществами полученных средств;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д) положения о предоставлении взносов (вкладов) на условиях, предусматривающих право муниципального органа исполнительной власти, предоставляющего бюджетные инвестиции, на проведение в отношении дочерних обществ проверок, предусмотренных подпунктом "л" пункта 3 настоящего документа;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lastRenderedPageBreak/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7. Договором между юридическим лицом, получающим бюджетные инвестиции, и дочерним обществом о предоставлении взноса (вклада), указанным в подпункте "е" пункта 6 настоящего документа, предусматриваются: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б) показатели результативности и их значения;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в)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д) сроки перечисления взноса (вклада);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и) положения о запрете: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 xml:space="preserve">ий и 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взносов (вкладов);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л) право юридического лица, получающего бюджетные инвестиции, и 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>исполнительно-распорядительно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 xml:space="preserve"> орга</w:t>
      </w:r>
      <w:r w:rsidR="00F95D73" w:rsidRPr="007C1EF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C6138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5F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5F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CB2E4C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>8.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B452E5" w:rsidRPr="007C1EFF" w:rsidRDefault="00CB2E4C" w:rsidP="00CB2E4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9.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54871" w:rsidRPr="0005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054871" w:rsidRPr="007C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AF0" w:rsidRPr="007C1EFF">
        <w:rPr>
          <w:rFonts w:ascii="Times New Roman" w:eastAsia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2E5" w:rsidRDefault="00B452E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0D9" w:rsidRDefault="008730D9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0D9" w:rsidRPr="007C1EFF" w:rsidRDefault="008730D9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B0B" w:rsidRPr="007C1EFF" w:rsidRDefault="00366911" w:rsidP="008E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452E5" w:rsidRDefault="00366911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EF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CB2E4C" w:rsidRPr="007C1E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71">
        <w:rPr>
          <w:rFonts w:ascii="Times New Roman" w:eastAsia="Times New Roman" w:hAnsi="Times New Roman" w:cs="Times New Roman"/>
          <w:sz w:val="28"/>
          <w:szCs w:val="28"/>
        </w:rPr>
        <w:t xml:space="preserve">    А.В. Демченко</w:t>
      </w: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Default="00BC02D5" w:rsidP="00B4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D5" w:rsidRPr="00BC02D5" w:rsidRDefault="00BC02D5" w:rsidP="00BC0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СОГЛАСОВАНИЯ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02D5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от </w:t>
      </w:r>
      <w:r w:rsidR="003C4D1E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C4D1E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</w:t>
      </w:r>
      <w:r w:rsidRPr="003A4EC0">
        <w:rPr>
          <w:rFonts w:ascii="Times New Roman" w:hAnsi="Times New Roman"/>
          <w:sz w:val="28"/>
          <w:szCs w:val="28"/>
        </w:rPr>
        <w:t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счёт средств местного бюджета</w:t>
      </w:r>
      <w:r w:rsidRPr="00BC02D5">
        <w:rPr>
          <w:rFonts w:ascii="Times New Roman" w:hAnsi="Times New Roman" w:cs="Times New Roman"/>
          <w:sz w:val="28"/>
          <w:szCs w:val="28"/>
        </w:rPr>
        <w:t>»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D9" w:rsidRDefault="008730D9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специалист 1-ой категории администрации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</w:t>
      </w:r>
      <w:r w:rsidR="00CE0B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02D5">
        <w:rPr>
          <w:rFonts w:ascii="Times New Roman" w:hAnsi="Times New Roman" w:cs="Times New Roman"/>
          <w:sz w:val="28"/>
          <w:szCs w:val="28"/>
        </w:rPr>
        <w:t xml:space="preserve"> Д.Д. </w:t>
      </w:r>
      <w:proofErr w:type="spellStart"/>
      <w:r w:rsidRPr="00BC02D5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«____»______________201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02D5">
        <w:rPr>
          <w:rFonts w:ascii="Times New Roman" w:hAnsi="Times New Roman" w:cs="Times New Roman"/>
          <w:sz w:val="28"/>
          <w:szCs w:val="28"/>
        </w:rPr>
        <w:t>г.</w:t>
      </w:r>
    </w:p>
    <w:p w:rsid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0D9" w:rsidRPr="00BC02D5" w:rsidRDefault="008730D9" w:rsidP="00CE0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 xml:space="preserve">          Проект согласован: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en-US"/>
        </w:rPr>
      </w:pPr>
      <w:r w:rsidRPr="00BC02D5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BC02D5">
        <w:rPr>
          <w:rFonts w:ascii="Times New Roman" w:hAnsi="Times New Roman" w:cs="Times New Roman"/>
          <w:sz w:val="28"/>
          <w:szCs w:val="28"/>
        </w:rPr>
        <w:tab/>
      </w:r>
      <w:r w:rsidRPr="00BC02D5">
        <w:rPr>
          <w:rFonts w:ascii="Times New Roman" w:hAnsi="Times New Roman" w:cs="Times New Roman"/>
          <w:sz w:val="28"/>
          <w:szCs w:val="28"/>
        </w:rPr>
        <w:tab/>
      </w:r>
      <w:r w:rsidRPr="00BC02D5">
        <w:rPr>
          <w:rFonts w:ascii="Times New Roman" w:hAnsi="Times New Roman" w:cs="Times New Roman"/>
          <w:sz w:val="28"/>
          <w:szCs w:val="28"/>
        </w:rPr>
        <w:tab/>
      </w:r>
      <w:r w:rsidRPr="00BC02D5">
        <w:rPr>
          <w:rFonts w:ascii="Times New Roman" w:hAnsi="Times New Roman" w:cs="Times New Roman"/>
          <w:sz w:val="28"/>
          <w:szCs w:val="28"/>
        </w:rPr>
        <w:tab/>
      </w:r>
      <w:r w:rsidRPr="00BC02D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E0B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02D5">
        <w:rPr>
          <w:rFonts w:ascii="Times New Roman" w:hAnsi="Times New Roman" w:cs="Times New Roman"/>
          <w:sz w:val="28"/>
          <w:szCs w:val="28"/>
        </w:rPr>
        <w:t xml:space="preserve"> Л.В. Бреева</w:t>
      </w:r>
    </w:p>
    <w:p w:rsidR="00BC02D5" w:rsidRPr="00BC02D5" w:rsidRDefault="00BC02D5" w:rsidP="00CE0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«____»______________201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02D5">
        <w:rPr>
          <w:rFonts w:ascii="Times New Roman" w:hAnsi="Times New Roman" w:cs="Times New Roman"/>
          <w:sz w:val="28"/>
          <w:szCs w:val="28"/>
        </w:rPr>
        <w:t>г.</w:t>
      </w:r>
    </w:p>
    <w:p w:rsidR="00BC02D5" w:rsidRPr="00BC02D5" w:rsidRDefault="00BC02D5" w:rsidP="00CE0BB3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</w:rPr>
      </w:pPr>
    </w:p>
    <w:p w:rsidR="00BC02D5" w:rsidRPr="00BC02D5" w:rsidRDefault="00BC02D5" w:rsidP="00BC02D5">
      <w:pPr>
        <w:spacing w:after="0" w:line="240" w:lineRule="auto"/>
        <w:rPr>
          <w:rFonts w:ascii="Times New Roman" w:hAnsi="Times New Roman" w:cs="Times New Roman"/>
          <w:color w:val="00000A"/>
          <w:kern w:val="1"/>
        </w:rPr>
      </w:pPr>
    </w:p>
    <w:p w:rsidR="00BC02D5" w:rsidRPr="00BC02D5" w:rsidRDefault="00BC02D5" w:rsidP="00BC02D5">
      <w:pPr>
        <w:spacing w:after="0" w:line="240" w:lineRule="auto"/>
        <w:rPr>
          <w:rFonts w:ascii="Times New Roman" w:hAnsi="Times New Roman" w:cs="Times New Roman"/>
          <w:color w:val="00000A"/>
          <w:kern w:val="1"/>
        </w:rPr>
      </w:pPr>
    </w:p>
    <w:p w:rsidR="00BC02D5" w:rsidRPr="00BC02D5" w:rsidRDefault="00BC02D5" w:rsidP="00BC02D5">
      <w:pPr>
        <w:spacing w:after="0" w:line="240" w:lineRule="auto"/>
        <w:rPr>
          <w:rFonts w:ascii="Times New Roman" w:hAnsi="Times New Roman" w:cs="Times New Roman"/>
          <w:color w:val="00000A"/>
          <w:kern w:val="1"/>
        </w:rPr>
      </w:pPr>
    </w:p>
    <w:p w:rsidR="00BC02D5" w:rsidRPr="00BC02D5" w:rsidRDefault="00BC02D5" w:rsidP="00BC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C02D5" w:rsidRPr="00BC02D5" w:rsidSect="00054871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4" w:rsidRDefault="00C87E34" w:rsidP="00054871">
      <w:pPr>
        <w:spacing w:after="0" w:line="240" w:lineRule="auto"/>
      </w:pPr>
      <w:r>
        <w:separator/>
      </w:r>
    </w:p>
  </w:endnote>
  <w:endnote w:type="continuationSeparator" w:id="0">
    <w:p w:rsidR="00C87E34" w:rsidRDefault="00C87E34" w:rsidP="0005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4" w:rsidRDefault="00C87E34" w:rsidP="00054871">
      <w:pPr>
        <w:spacing w:after="0" w:line="240" w:lineRule="auto"/>
      </w:pPr>
      <w:r>
        <w:separator/>
      </w:r>
    </w:p>
  </w:footnote>
  <w:footnote w:type="continuationSeparator" w:id="0">
    <w:p w:rsidR="00C87E34" w:rsidRDefault="00C87E34" w:rsidP="0005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71" w:rsidRDefault="00054871" w:rsidP="0005487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34"/>
    <w:rsid w:val="00025A34"/>
    <w:rsid w:val="00054871"/>
    <w:rsid w:val="00082799"/>
    <w:rsid w:val="000D6E23"/>
    <w:rsid w:val="002826D2"/>
    <w:rsid w:val="00290767"/>
    <w:rsid w:val="00292B80"/>
    <w:rsid w:val="002E2158"/>
    <w:rsid w:val="002E2FCA"/>
    <w:rsid w:val="002F78AD"/>
    <w:rsid w:val="00366911"/>
    <w:rsid w:val="003C4D1E"/>
    <w:rsid w:val="00426AF0"/>
    <w:rsid w:val="00484E56"/>
    <w:rsid w:val="00661A61"/>
    <w:rsid w:val="00697015"/>
    <w:rsid w:val="00741067"/>
    <w:rsid w:val="0078665E"/>
    <w:rsid w:val="007C1EFF"/>
    <w:rsid w:val="0086348F"/>
    <w:rsid w:val="008730D9"/>
    <w:rsid w:val="008817E9"/>
    <w:rsid w:val="008B0F68"/>
    <w:rsid w:val="008C2B71"/>
    <w:rsid w:val="008E1B0B"/>
    <w:rsid w:val="00930F5F"/>
    <w:rsid w:val="009E3B27"/>
    <w:rsid w:val="00A23B27"/>
    <w:rsid w:val="00A41164"/>
    <w:rsid w:val="00AC6138"/>
    <w:rsid w:val="00B452E5"/>
    <w:rsid w:val="00BC02D5"/>
    <w:rsid w:val="00C251BC"/>
    <w:rsid w:val="00C87E34"/>
    <w:rsid w:val="00CB2E4C"/>
    <w:rsid w:val="00CE0BB3"/>
    <w:rsid w:val="00DE1344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25A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2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871"/>
  </w:style>
  <w:style w:type="paragraph" w:styleId="a8">
    <w:name w:val="footer"/>
    <w:basedOn w:val="a"/>
    <w:link w:val="a9"/>
    <w:uiPriority w:val="99"/>
    <w:unhideWhenUsed/>
    <w:rsid w:val="0005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25A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2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871"/>
  </w:style>
  <w:style w:type="paragraph" w:styleId="a8">
    <w:name w:val="footer"/>
    <w:basedOn w:val="a"/>
    <w:link w:val="a9"/>
    <w:uiPriority w:val="99"/>
    <w:unhideWhenUsed/>
    <w:rsid w:val="0005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11</cp:revision>
  <dcterms:created xsi:type="dcterms:W3CDTF">2018-12-24T09:15:00Z</dcterms:created>
  <dcterms:modified xsi:type="dcterms:W3CDTF">2018-12-24T10:40:00Z</dcterms:modified>
</cp:coreProperties>
</file>